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Whistleblowing Policy Template</w:t>
      </w:r>
    </w:p>
    <w:p>
      <w:pPr>
        <w:jc w:val="center"/>
      </w:pPr>
      <w:r>
        <w:rPr>
          <w:i/>
          <w:sz w:val="24"/>
        </w:rPr>
        <w:t>Implementing EU Directive 2019/1937 and its national transpositions</w:t>
      </w:r>
    </w:p>
    <w:p>
      <w:pPr>
        <w:jc w:val="center"/>
      </w:pPr>
      <w:r>
        <w:rPr>
          <w:color w:val="606060"/>
          <w:sz w:val="18"/>
        </w:rPr>
        <w:t>v2026.05.20 · Released by Confidly under CC BY 4.0</w:t>
      </w:r>
    </w:p>
    <w:p/>
    <w:p>
      <w:r>
        <w:rPr>
          <w:sz w:val="22"/>
        </w:rPr>
        <w:t>This template implements Directive (EU) 2019/1937 on the protection of persons who report breaches of Union law. Replace every [BRACKETED] placeholder with your company's details. Each section is annotated with the directive article it satisfies and the most common implementation mistake. Adopt by formal board resolution and publish to all persons in scope.</w:t>
      </w:r>
    </w:p>
    <w:p/>
    <w:p>
      <w:r>
        <w:rPr>
          <w:b/>
          <w:color w:val="4F46E5"/>
          <w:sz w:val="28"/>
        </w:rPr>
        <w:t>Section 1 — Purpose and Legal Basis</w:t>
      </w:r>
    </w:p>
    <w:p>
      <w:r>
        <w:t>This policy establishes the procedures by which any natural person may report — confidentially and without fear of retaliation — actual or suspected breaches of EU law or [NATIONAL LAW] of which they have acquired knowledge in a work-related context with [COMPANY NAME]. It implements Directive (EU) 2019/1937 of the European Parliament and of the Council of 23 October 2019 as transposed by [NATIONAL TRANSPOSITION LAW] in [COUNTRY].</w:t>
      </w:r>
    </w:p>
    <w:p>
      <w:pPr>
        <w:ind w:left="283"/>
      </w:pPr>
      <w:r>
        <w:rPr>
          <w:i/>
          <w:color w:val="606060"/>
          <w:sz w:val="18"/>
        </w:rPr>
        <w:t>Drafting note. Cite both the EU directive and the national transposition. The national law is your enforcing authority — name it.</w:t>
      </w:r>
    </w:p>
    <w:p/>
    <w:p>
      <w:r>
        <w:rPr>
          <w:b/>
          <w:color w:val="4F46E5"/>
          <w:sz w:val="28"/>
        </w:rPr>
        <w:t>Section 2 — Personal Scope (Who May Report)</w:t>
      </w:r>
    </w:p>
    <w:p>
      <w:r>
        <w:t>This policy protects every natural person who has acquired information on breaches in a work-related context with [COMPANY NAME], including: (a) current and former employees; (b) applicants for employment; (c) self-employed contractors and consultants; (d) suppliers, their employees, and subcontractors; (e) shareholders and members of administrative, management, or supervisory bodies; (f) volunteers and paid or unpaid trainees; and (g) any person whose work-based relationship has yet to begin or has already ended. Protection applies regardless of the form of remuneration.</w:t>
      </w:r>
    </w:p>
    <w:p>
      <w:pPr>
        <w:ind w:left="283"/>
      </w:pPr>
      <w:r>
        <w:rPr>
          <w:i/>
          <w:color w:val="606060"/>
          <w:sz w:val="18"/>
        </w:rPr>
        <w:t>Drafting note. EU Directive 2019/1937 Art. 4. Do not narrow this list — any narrowing is itself a breach.</w:t>
      </w:r>
    </w:p>
    <w:p/>
    <w:p>
      <w:r>
        <w:rPr>
          <w:b/>
          <w:color w:val="4F46E5"/>
          <w:sz w:val="28"/>
        </w:rPr>
        <w:t>Section 3 — Material Scope (What May Be Reported)</w:t>
      </w:r>
    </w:p>
    <w:p>
      <w:r>
        <w:t>A report under this policy may concern: (a) breaches of EU law in the areas listed in Article 2 of Directive 2019/1937, including public procurement, financial services, anti-money laundering, product and transport safety, environmental protection, public health, food safety, consumer protection, data protection, network and information systems security, internal market, and tax/competition matters; (b) breaches of [NATIONAL LAW]; and (c) any threat or harm to the public interest of which the reporter became aware in a work-related context. Reports made in good faith on suspected future breaches are equally protected.</w:t>
      </w:r>
    </w:p>
    <w:p>
      <w:pPr>
        <w:ind w:left="283"/>
      </w:pPr>
      <w:r>
        <w:rPr>
          <w:i/>
          <w:color w:val="606060"/>
          <w:sz w:val="18"/>
        </w:rPr>
        <w:t>Drafting note. Enumerate the directive categories. A reporter who reports an environmental breach must not be told later that 'the channel is for ethics matters only'.</w:t>
      </w:r>
    </w:p>
    <w:p/>
    <w:p>
      <w:r>
        <w:rPr>
          <w:b/>
          <w:color w:val="4F46E5"/>
          <w:sz w:val="28"/>
        </w:rPr>
        <w:t>Section 4 — Reporting Channels</w:t>
      </w:r>
    </w:p>
    <w:p>
      <w:r>
        <w:t>Reporters may freely choose between three channels:</w:t>
      </w:r>
    </w:p>
    <w:p>
      <w:r>
        <w:t>Internal channel — operated by [COMPANY NAME] and described in Section 9 of this policy. Reports may be submitted in writing, orally, or in a physical meeting upon request. The internal channel is accessible at [CHANNEL URL].</w:t>
      </w:r>
    </w:p>
    <w:p>
      <w:r>
        <w:t>External channel — directly to the national competent authority. In [COUNTRY] this is [COMPETENT AUTHORITY], reachable at [AUTHORITY URL].</w:t>
      </w:r>
    </w:p>
    <w:p>
      <w:r>
        <w:t>Public disclosure — under the strict conditions of Article 15 of Directive 2019/1937: where no appropriate action has been taken within the feedback period, where there is an imminent or manifest danger to the public interest, or where external reporting carries a serious risk of retaliation.</w:t>
      </w:r>
    </w:p>
    <w:p>
      <w:pPr>
        <w:ind w:left="283"/>
      </w:pPr>
      <w:r>
        <w:rPr>
          <w:i/>
          <w:color w:val="606060"/>
          <w:sz w:val="18"/>
        </w:rPr>
        <w:t>Drafting note. Do not imply a hierarchy. The reporter chooses freely. Pre-Waserman France imposed a hierarchy; the directive abolished it.</w:t>
      </w:r>
    </w:p>
    <w:p/>
    <w:p>
      <w:r>
        <w:rPr>
          <w:b/>
          <w:color w:val="4F46E5"/>
          <w:sz w:val="28"/>
        </w:rPr>
        <w:t>Section 5 — Confidentiality</w:t>
      </w:r>
    </w:p>
    <w:p>
      <w:r>
        <w:t>[COMPANY NAME] guarantees the confidentiality of the reporter's identity and of any third party mentioned in a report. The identity may not be disclosed to any person other than the authorized members of staff competent to receive or follow up on the report, except: (i) with the express consent of the reporter; or (ii) where required by national law in the context of investigations by national authorities or judicial proceedings, in which case the reporter shall be informed prior to disclosure unless such information would jeopardize the investigation. Where this policy offers anonymous reporting, no identifier (email, IP address, browser cookie, or device fingerprint) shall be captured at intake.</w:t>
      </w:r>
    </w:p>
    <w:p>
      <w:pPr>
        <w:ind w:left="283"/>
      </w:pPr>
      <w:r>
        <w:rPr>
          <w:i/>
          <w:color w:val="606060"/>
          <w:sz w:val="18"/>
        </w:rPr>
        <w:t>Drafting note. EU Directive 2019/1937 Art. 16. The confidentiality obligation survives the case closure.</w:t>
      </w:r>
    </w:p>
    <w:p/>
    <w:p>
      <w:r>
        <w:rPr>
          <w:b/>
          <w:color w:val="4F46E5"/>
          <w:sz w:val="28"/>
        </w:rPr>
        <w:t>Section 6 — Acknowledgement and Feedback Timelines</w:t>
      </w:r>
    </w:p>
    <w:p>
      <w:r>
        <w:t>[COMPANY NAME] shall acknowledge receipt of every report within seven (7) days of receipt. [COMPANY NAME] shall provide substantive feedback to the reporter — on the action envisaged or taken, the reasons for that action, and the further channels available — within three (3) months of acknowledgement. Where the investigation is not concluded within three months, [COMPANY NAME] shall inform the reporter of the status and the expected timeline for substantive feedback.</w:t>
      </w:r>
    </w:p>
    <w:p>
      <w:pPr>
        <w:ind w:left="283"/>
      </w:pPr>
      <w:r>
        <w:rPr>
          <w:i/>
          <w:color w:val="606060"/>
          <w:sz w:val="18"/>
        </w:rPr>
        <w:t>Drafting note. EU Directive 2019/1937 Art. 9(1)(b) and (f). Use exact phrasing 'within 7 days' and 'within 3 months'.</w:t>
      </w:r>
    </w:p>
    <w:p/>
    <w:p>
      <w:r>
        <w:rPr>
          <w:b/>
          <w:color w:val="4F46E5"/>
          <w:sz w:val="28"/>
        </w:rPr>
        <w:t>Section 7 — Investigation Procedure</w:t>
      </w:r>
    </w:p>
    <w:p>
      <w:r>
        <w:t>Upon acknowledgement, the designated person identified in Section 9 shall:</w:t>
      </w:r>
    </w:p>
    <w:p>
      <w:r>
        <w:t>(a) Triage the report for plausibility, urgency, and conflict of interest, within five (5) working days of acknowledgement;</w:t>
        <w:br/>
        <w:t>(b) Open an investigation if the report has a credible basis, commissioning external counsel where conflicts or specialized expertise require it;</w:t>
        <w:br/>
        <w:t>(c) Maintain a confidential communication channel with the reporter via the case code system, providing periodic status updates;</w:t>
        <w:br/>
        <w:t>(d) Document every action in the append-only audit log;</w:t>
        <w:br/>
        <w:t>(e) Conclude the investigation with a written finding;</w:t>
        <w:br/>
        <w:t>(f) Communicate substantive feedback to the reporter within the three-month deadline.</w:t>
      </w:r>
    </w:p>
    <w:p>
      <w:r>
        <w:t>Where the report concerns a member of senior management, the investigation shall be conducted by external counsel reporting directly to the audit committee of the board.</w:t>
      </w:r>
    </w:p>
    <w:p>
      <w:pPr>
        <w:ind w:left="283"/>
      </w:pPr>
      <w:r>
        <w:rPr>
          <w:i/>
          <w:color w:val="606060"/>
          <w:sz w:val="18"/>
        </w:rPr>
        <w:t>Drafting note. EU Directive 2019/1937 Art. 9(1)(d). 'Diligent follow-up' is required. A reported case that sits unactioned exposes you to reverse-burden retaliation claims.</w:t>
      </w:r>
    </w:p>
    <w:p/>
    <w:p>
      <w:r>
        <w:rPr>
          <w:b/>
          <w:color w:val="4F46E5"/>
          <w:sz w:val="28"/>
        </w:rPr>
        <w:t>Section 8 — Anti-Retaliation Protection</w:t>
      </w:r>
    </w:p>
    <w:p>
      <w:r>
        <w:t>[COMPANY NAME] prohibits any form of retaliation against any person who has made or contemplated a protected report. Prohibited acts include but are not limited to: dismissal, demotion, transfer, denial of promotion, change of duties or working hours, withholding of training, negative performance evaluations, reputational damage, blacklisting, early termination of a contract, and any direct or indirect adverse measure with comparable effect.</w:t>
      </w:r>
    </w:p>
    <w:p>
      <w:r>
        <w:t>Reverse burden of proof. Where the reporter establishes that they made a protected report and subsequently suffered an adverse measure, [COMPANY NAME] bears the burden of demonstrating that the measure was based on duly justified grounds unrelated to the report.</w:t>
      </w:r>
    </w:p>
    <w:p>
      <w:r>
        <w:t>Violations of this Section 8 will result in disciplinary action up to and including dismissal, and may trigger personal civil and criminal liability of the responsible manager under [NATIONAL LAW].</w:t>
      </w:r>
    </w:p>
    <w:p>
      <w:pPr>
        <w:ind w:left="283"/>
      </w:pPr>
      <w:r>
        <w:rPr>
          <w:i/>
          <w:color w:val="606060"/>
          <w:sz w:val="18"/>
        </w:rPr>
        <w:t>Drafting note. EU Directive 2019/1937 Art. 19 and Art. 21(5). The reverse burden of proof is the strongest deterrent — communicate it to mid-level managers.</w:t>
      </w:r>
    </w:p>
    <w:p/>
    <w:p>
      <w:r>
        <w:rPr>
          <w:b/>
          <w:color w:val="4F46E5"/>
          <w:sz w:val="28"/>
        </w:rPr>
        <w:t>Section 9 — Roles and Responsibilities</w:t>
      </w:r>
    </w:p>
    <w:p>
      <w:r>
        <w:t>Designated person. The internal channel is operated by [NAME, ROLE, TITLE], who reports directly to [BOARD COMMITTEE / SUPERVISORY BODY] and is independent of any operational management function that could be the subject of a report. Contact: [EMAIL / SECURE FORM].</w:t>
      </w:r>
    </w:p>
    <w:p>
      <w:r>
        <w:t>Deputy. In the absence of the designated person, [NAME, ROLE] assumes the responsibilities of this policy.</w:t>
      </w:r>
    </w:p>
    <w:p>
      <w:r>
        <w:t>Escalation. Where a report concerns the designated person, the deputy, or a member of senior management to whom either reports, the report shall be received and handled by [EXTERNAL OMBUDSPERSON / INDEPENDENT COUNSEL].</w:t>
      </w:r>
    </w:p>
    <w:p>
      <w:r>
        <w:t>Reporting to the board. The designated person shall submit a quarterly anonymized report to [BOARD COMMITTEE] on volume, categories, average handling time, SLA compliance, and outcomes.</w:t>
      </w:r>
    </w:p>
    <w:p>
      <w:pPr>
        <w:ind w:left="283"/>
      </w:pPr>
      <w:r>
        <w:rPr>
          <w:i/>
          <w:color w:val="606060"/>
          <w:sz w:val="18"/>
        </w:rPr>
        <w:t>Drafting note. EU Directive 2019/1937 Art. 8(5). The designated person must be independent. Routing reports through HR fails this test for harassment/discrimination cases.</w:t>
      </w:r>
    </w:p>
    <w:p/>
    <w:p>
      <w:r>
        <w:rPr>
          <w:b/>
          <w:color w:val="4F46E5"/>
          <w:sz w:val="28"/>
        </w:rPr>
        <w:t>Section 10 — Data Protection and Recordkeeping</w:t>
      </w:r>
    </w:p>
    <w:p>
      <w:r>
        <w:t>Legal basis. Processing of personal data under this policy is based on (a) compliance with a legal obligation (Article 6(1)(c) GDPR — implementing Directive 2019/1937 and [NATIONAL LAW]) for the categories of data necessary to investigate and document; and (b) the legitimate interest of [COMPANY NAME] in detecting and preventing wrongdoing (Article 6(1)(f) GDPR) for ancillary data.</w:t>
      </w:r>
    </w:p>
    <w:p>
      <w:r>
        <w:t>Data minimization. No identifier (email, IP, cookie, fingerprint) of an anonymous reporter shall be captured. Personal data of third parties mentioned in a report shall be collected only to the extent necessary to investigate.</w:t>
      </w:r>
    </w:p>
    <w:p>
      <w:r>
        <w:t>Retention. Reports and related records are retained for [PERIOD AS PER NATIONAL LAW — e.g., 3 years from case closure in Germany, 5 years in Spain]. After this period, records are anonymized or deleted unless retention is required by ongoing legal proceedings.</w:t>
      </w:r>
    </w:p>
    <w:p>
      <w:r>
        <w:t>Data subject rights. The right to information under Article 14 GDPR of a person mentioned in a report may be deferred for as long as necessary to avoid jeopardizing the investigation, in accordance with Article 14(5)(b) GDPR.</w:t>
      </w:r>
    </w:p>
    <w:p>
      <w:pPr>
        <w:ind w:left="283"/>
      </w:pPr>
      <w:r>
        <w:rPr>
          <w:i/>
          <w:color w:val="606060"/>
          <w:sz w:val="18"/>
        </w:rPr>
        <w:t>Drafting note. GDPR Art. 5, 6, 9, 17, 30. The right to erasure is tempered by the directive's recordkeeping obligation — be explicit about retention.</w:t>
      </w:r>
    </w:p>
    <w:p/>
    <w:p>
      <w:r>
        <w:rPr>
          <w:b/>
          <w:color w:val="4F46E5"/>
          <w:sz w:val="28"/>
        </w:rPr>
        <w:t>Section 11 — Communication, Training, and Policy Review</w:t>
      </w:r>
    </w:p>
    <w:p>
      <w:r>
        <w:t>Communication. This policy shall be made available to all persons in scope (Section 2) in the official language of [COUNTRY] and in the working language of [COMPANY NAME]. The internal channel URL shall be linked from the intranet landing page.</w:t>
      </w:r>
    </w:p>
    <w:p>
      <w:r>
        <w:t>Training. The designated person and the deputy shall receive external training on whistleblower investigation and trauma-informed interviewing every twenty-four (24) months. Middle managers shall receive a three-hour training on this policy every eighteen (18) months, with mandatory completion tracking.</w:t>
      </w:r>
    </w:p>
    <w:p>
      <w:r>
        <w:t>Review. This policy shall be reviewed by [BOARD COMMITTEE] at least annually and after any of: (a) substantive amendment to [NATIONAL LAW]; (b) substantive change to the reporting channel; (c) organizational restructure affecting the designated person or deputy; (d) any substantiated retaliation incident.</w:t>
      </w:r>
    </w:p>
    <w:p>
      <w:pPr>
        <w:ind w:left="283"/>
      </w:pPr>
      <w:r>
        <w:rPr>
          <w:i/>
          <w:color w:val="606060"/>
          <w:sz w:val="18"/>
        </w:rPr>
        <w:t>Drafting note. EU Directive 2019/1937 Art. 9(2). Communication and training are explicit obligations, not optional good practice.</w:t>
      </w:r>
    </w:p>
    <w:p/>
    <w:p>
      <w:r>
        <w:br w:type="page"/>
      </w:r>
    </w:p>
    <w:p>
      <w:r>
        <w:rPr>
          <w:b/>
          <w:sz w:val="32"/>
        </w:rPr>
        <w:t>Annex A — Country References</w:t>
      </w:r>
    </w:p>
    <w:p>
      <w:r>
        <w:t>For each country in which [COMPANY NAME] has reporting persons, copy the relevant row below into Section 1 (national law) and Section 4 (competent authority) of this policy.</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Country</w:t>
            </w:r>
          </w:p>
        </w:tc>
        <w:tc>
          <w:tcPr>
            <w:tcW w:type="dxa" w:w="2160"/>
          </w:tcPr>
          <w:p>
            <w:r>
              <w:rPr>
                <w:b/>
              </w:rPr>
              <w:t>National Law</w:t>
            </w:r>
          </w:p>
        </w:tc>
        <w:tc>
          <w:tcPr>
            <w:tcW w:type="dxa" w:w="2160"/>
          </w:tcPr>
          <w:p>
            <w:r>
              <w:rPr>
                <w:b/>
              </w:rPr>
              <w:t>Competent Authority</w:t>
            </w:r>
          </w:p>
        </w:tc>
        <w:tc>
          <w:tcPr>
            <w:tcW w:type="dxa" w:w="2160"/>
          </w:tcPr>
          <w:p>
            <w:r>
              <w:rPr>
                <w:b/>
              </w:rPr>
              <w:t>Max Fine</w:t>
            </w:r>
          </w:p>
        </w:tc>
      </w:tr>
      <w:tr>
        <w:tc>
          <w:tcPr>
            <w:tcW w:type="dxa" w:w="2160"/>
          </w:tcPr>
          <w:p>
            <w:r>
              <w:t>Germany</w:t>
            </w:r>
          </w:p>
        </w:tc>
        <w:tc>
          <w:tcPr>
            <w:tcW w:type="dxa" w:w="2160"/>
          </w:tcPr>
          <w:p>
            <w:r>
              <w:t>Hinweisgeberschutzgesetz (HinSchG)</w:t>
            </w:r>
          </w:p>
        </w:tc>
        <w:tc>
          <w:tcPr>
            <w:tcW w:type="dxa" w:w="2160"/>
          </w:tcPr>
          <w:p>
            <w:r>
              <w:t>Bundesamt für Justiz</w:t>
            </w:r>
          </w:p>
        </w:tc>
        <w:tc>
          <w:tcPr>
            <w:tcW w:type="dxa" w:w="2160"/>
          </w:tcPr>
          <w:p>
            <w:r>
              <w:t>€50,000</w:t>
            </w:r>
          </w:p>
        </w:tc>
      </w:tr>
      <w:tr>
        <w:tc>
          <w:tcPr>
            <w:tcW w:type="dxa" w:w="2160"/>
          </w:tcPr>
          <w:p>
            <w:r>
              <w:t>Austria</w:t>
            </w:r>
          </w:p>
        </w:tc>
        <w:tc>
          <w:tcPr>
            <w:tcW w:type="dxa" w:w="2160"/>
          </w:tcPr>
          <w:p>
            <w:r>
              <w:t>HinweisgeberInnenschutzgesetz</w:t>
            </w:r>
          </w:p>
        </w:tc>
        <w:tc>
          <w:tcPr>
            <w:tcW w:type="dxa" w:w="2160"/>
          </w:tcPr>
          <w:p>
            <w:r>
              <w:t>Bundesamt zur Korruptionsprävention</w:t>
            </w:r>
          </w:p>
        </w:tc>
        <w:tc>
          <w:tcPr>
            <w:tcW w:type="dxa" w:w="2160"/>
          </w:tcPr>
          <w:p>
            <w:r>
              <w:t>€20,000</w:t>
            </w:r>
          </w:p>
        </w:tc>
      </w:tr>
      <w:tr>
        <w:tc>
          <w:tcPr>
            <w:tcW w:type="dxa" w:w="2160"/>
          </w:tcPr>
          <w:p>
            <w:r>
              <w:t>France</w:t>
            </w:r>
          </w:p>
        </w:tc>
        <w:tc>
          <w:tcPr>
            <w:tcW w:type="dxa" w:w="2160"/>
          </w:tcPr>
          <w:p>
            <w:r>
              <w:t>Loi Waserman (modifiée Sapin II)</w:t>
            </w:r>
          </w:p>
        </w:tc>
        <w:tc>
          <w:tcPr>
            <w:tcW w:type="dxa" w:w="2160"/>
          </w:tcPr>
          <w:p>
            <w:r>
              <w:t>Défenseur des droits</w:t>
            </w:r>
          </w:p>
        </w:tc>
        <w:tc>
          <w:tcPr>
            <w:tcW w:type="dxa" w:w="2160"/>
          </w:tcPr>
          <w:p>
            <w:r>
              <w:t>€60,000</w:t>
            </w:r>
          </w:p>
        </w:tc>
      </w:tr>
      <w:tr>
        <w:tc>
          <w:tcPr>
            <w:tcW w:type="dxa" w:w="2160"/>
          </w:tcPr>
          <w:p>
            <w:r>
              <w:t>Spain</w:t>
            </w:r>
          </w:p>
        </w:tc>
        <w:tc>
          <w:tcPr>
            <w:tcW w:type="dxa" w:w="2160"/>
          </w:tcPr>
          <w:p>
            <w:r>
              <w:t>Ley 2/2023 de protección informantes</w:t>
            </w:r>
          </w:p>
        </w:tc>
        <w:tc>
          <w:tcPr>
            <w:tcW w:type="dxa" w:w="2160"/>
          </w:tcPr>
          <w:p>
            <w:r>
              <w:t>Autoridad Independiente de Protección al Informante</w:t>
            </w:r>
          </w:p>
        </w:tc>
        <w:tc>
          <w:tcPr>
            <w:tcW w:type="dxa" w:w="2160"/>
          </w:tcPr>
          <w:p>
            <w:r>
              <w:t>€1,000,000</w:t>
            </w:r>
          </w:p>
        </w:tc>
      </w:tr>
      <w:tr>
        <w:tc>
          <w:tcPr>
            <w:tcW w:type="dxa" w:w="2160"/>
          </w:tcPr>
          <w:p>
            <w:r>
              <w:t>Italy</w:t>
            </w:r>
          </w:p>
        </w:tc>
        <w:tc>
          <w:tcPr>
            <w:tcW w:type="dxa" w:w="2160"/>
          </w:tcPr>
          <w:p>
            <w:r>
              <w:t>Decreto Legislativo 24/2023</w:t>
            </w:r>
          </w:p>
        </w:tc>
        <w:tc>
          <w:tcPr>
            <w:tcW w:type="dxa" w:w="2160"/>
          </w:tcPr>
          <w:p>
            <w:r>
              <w:t>Autorità Nazionale Anticorruzione (ANAC)</w:t>
            </w:r>
          </w:p>
        </w:tc>
        <w:tc>
          <w:tcPr>
            <w:tcW w:type="dxa" w:w="2160"/>
          </w:tcPr>
          <w:p>
            <w:r>
              <w:t>€50,000</w:t>
            </w:r>
          </w:p>
        </w:tc>
      </w:tr>
      <w:tr>
        <w:tc>
          <w:tcPr>
            <w:tcW w:type="dxa" w:w="2160"/>
          </w:tcPr>
          <w:p>
            <w:r>
              <w:t>Netherlands</w:t>
            </w:r>
          </w:p>
        </w:tc>
        <w:tc>
          <w:tcPr>
            <w:tcW w:type="dxa" w:w="2160"/>
          </w:tcPr>
          <w:p>
            <w:r>
              <w:t>Wet bescherming klokkenluiders</w:t>
            </w:r>
          </w:p>
        </w:tc>
        <w:tc>
          <w:tcPr>
            <w:tcW w:type="dxa" w:w="2160"/>
          </w:tcPr>
          <w:p>
            <w:r>
              <w:t>Huis voor klokkenluiders</w:t>
            </w:r>
          </w:p>
        </w:tc>
        <w:tc>
          <w:tcPr>
            <w:tcW w:type="dxa" w:w="2160"/>
          </w:tcPr>
          <w:p>
            <w:r>
              <w:t>€900,000</w:t>
            </w:r>
          </w:p>
        </w:tc>
      </w:tr>
      <w:tr>
        <w:tc>
          <w:tcPr>
            <w:tcW w:type="dxa" w:w="2160"/>
          </w:tcPr>
          <w:p>
            <w:r>
              <w:t>Belgium</w:t>
            </w:r>
          </w:p>
        </w:tc>
        <w:tc>
          <w:tcPr>
            <w:tcW w:type="dxa" w:w="2160"/>
          </w:tcPr>
          <w:p>
            <w:r>
              <w:t>Loi du 28 novembre 2022</w:t>
            </w:r>
          </w:p>
        </w:tc>
        <w:tc>
          <w:tcPr>
            <w:tcW w:type="dxa" w:w="2160"/>
          </w:tcPr>
          <w:p>
            <w:r>
              <w:t>Federal Ombudsman</w:t>
            </w:r>
          </w:p>
        </w:tc>
        <w:tc>
          <w:tcPr>
            <w:tcW w:type="dxa" w:w="2160"/>
          </w:tcPr>
          <w:p>
            <w:r>
              <w:t>€72,000</w:t>
            </w:r>
          </w:p>
        </w:tc>
      </w:tr>
      <w:tr>
        <w:tc>
          <w:tcPr>
            <w:tcW w:type="dxa" w:w="2160"/>
          </w:tcPr>
          <w:p>
            <w:r>
              <w:t>Sweden</w:t>
            </w:r>
          </w:p>
        </w:tc>
        <w:tc>
          <w:tcPr>
            <w:tcW w:type="dxa" w:w="2160"/>
          </w:tcPr>
          <w:p>
            <w:r>
              <w:t>Lag 2021:890</w:t>
            </w:r>
          </w:p>
        </w:tc>
        <w:tc>
          <w:tcPr>
            <w:tcW w:type="dxa" w:w="2160"/>
          </w:tcPr>
          <w:p>
            <w:r>
              <w:t>Arbetsmiljöverket</w:t>
            </w:r>
          </w:p>
        </w:tc>
        <w:tc>
          <w:tcPr>
            <w:tcW w:type="dxa" w:w="2160"/>
          </w:tcPr>
          <w:p>
            <w:r>
              <w:t>SEK 1,000,000</w:t>
            </w:r>
          </w:p>
        </w:tc>
      </w:tr>
      <w:tr>
        <w:tc>
          <w:tcPr>
            <w:tcW w:type="dxa" w:w="2160"/>
          </w:tcPr>
          <w:p>
            <w:r>
              <w:t>Denmark</w:t>
            </w:r>
          </w:p>
        </w:tc>
        <w:tc>
          <w:tcPr>
            <w:tcW w:type="dxa" w:w="2160"/>
          </w:tcPr>
          <w:p>
            <w:r>
              <w:t>Whistleblower-loven</w:t>
            </w:r>
          </w:p>
        </w:tc>
        <w:tc>
          <w:tcPr>
            <w:tcW w:type="dxa" w:w="2160"/>
          </w:tcPr>
          <w:p>
            <w:r>
              <w:t>Datatilsynet</w:t>
            </w:r>
          </w:p>
        </w:tc>
        <w:tc>
          <w:tcPr>
            <w:tcW w:type="dxa" w:w="2160"/>
          </w:tcPr>
          <w:p>
            <w:r>
              <w:t>DKK 100,000</w:t>
            </w:r>
          </w:p>
        </w:tc>
      </w:tr>
      <w:tr>
        <w:tc>
          <w:tcPr>
            <w:tcW w:type="dxa" w:w="2160"/>
          </w:tcPr>
          <w:p>
            <w:r>
              <w:t>Finland</w:t>
            </w:r>
          </w:p>
        </w:tc>
        <w:tc>
          <w:tcPr>
            <w:tcW w:type="dxa" w:w="2160"/>
          </w:tcPr>
          <w:p>
            <w:r>
              <w:t>Ilmoittajansuojalaki</w:t>
            </w:r>
          </w:p>
        </w:tc>
        <w:tc>
          <w:tcPr>
            <w:tcW w:type="dxa" w:w="2160"/>
          </w:tcPr>
          <w:p>
            <w:r>
              <w:t>Oikeuskanslerinvirasto</w:t>
            </w:r>
          </w:p>
        </w:tc>
        <w:tc>
          <w:tcPr>
            <w:tcW w:type="dxa" w:w="2160"/>
          </w:tcPr>
          <w:p>
            <w:r>
              <w:t>€20,000</w:t>
            </w:r>
          </w:p>
        </w:tc>
      </w:tr>
      <w:tr>
        <w:tc>
          <w:tcPr>
            <w:tcW w:type="dxa" w:w="2160"/>
          </w:tcPr>
          <w:p>
            <w:r>
              <w:t>Ireland</w:t>
            </w:r>
          </w:p>
        </w:tc>
        <w:tc>
          <w:tcPr>
            <w:tcW w:type="dxa" w:w="2160"/>
          </w:tcPr>
          <w:p>
            <w:r>
              <w:t>Protected Disclosures (Amendment) Act 2022</w:t>
            </w:r>
          </w:p>
        </w:tc>
        <w:tc>
          <w:tcPr>
            <w:tcW w:type="dxa" w:w="2160"/>
          </w:tcPr>
          <w:p>
            <w:r>
              <w:t>Office of the Protected Disclosures Commissioner</w:t>
            </w:r>
          </w:p>
        </w:tc>
        <w:tc>
          <w:tcPr>
            <w:tcW w:type="dxa" w:w="2160"/>
          </w:tcPr>
          <w:p>
            <w:r>
              <w:t>€250,000</w:t>
            </w:r>
          </w:p>
        </w:tc>
      </w:tr>
      <w:tr>
        <w:tc>
          <w:tcPr>
            <w:tcW w:type="dxa" w:w="2160"/>
          </w:tcPr>
          <w:p>
            <w:r>
              <w:t>Portugal</w:t>
            </w:r>
          </w:p>
        </w:tc>
        <w:tc>
          <w:tcPr>
            <w:tcW w:type="dxa" w:w="2160"/>
          </w:tcPr>
          <w:p>
            <w:r>
              <w:t>Lei 93/2021</w:t>
            </w:r>
          </w:p>
        </w:tc>
        <w:tc>
          <w:tcPr>
            <w:tcW w:type="dxa" w:w="2160"/>
          </w:tcPr>
          <w:p>
            <w:r>
              <w:t>Mecanismo Nacional Anticorrupção</w:t>
            </w:r>
          </w:p>
        </w:tc>
        <w:tc>
          <w:tcPr>
            <w:tcW w:type="dxa" w:w="2160"/>
          </w:tcPr>
          <w:p>
            <w:r>
              <w:t>€250,000</w:t>
            </w:r>
          </w:p>
        </w:tc>
      </w:tr>
      <w:tr>
        <w:tc>
          <w:tcPr>
            <w:tcW w:type="dxa" w:w="2160"/>
          </w:tcPr>
          <w:p>
            <w:r>
              <w:t>Poland</w:t>
            </w:r>
          </w:p>
        </w:tc>
        <w:tc>
          <w:tcPr>
            <w:tcW w:type="dxa" w:w="2160"/>
          </w:tcPr>
          <w:p>
            <w:r>
              <w:t>Ustawa o ochronie sygnalistów</w:t>
            </w:r>
          </w:p>
        </w:tc>
        <w:tc>
          <w:tcPr>
            <w:tcW w:type="dxa" w:w="2160"/>
          </w:tcPr>
          <w:p>
            <w:r>
              <w:t>Państwowa Inspekcja Pracy</w:t>
            </w:r>
          </w:p>
        </w:tc>
        <w:tc>
          <w:tcPr>
            <w:tcW w:type="dxa" w:w="2160"/>
          </w:tcPr>
          <w:p>
            <w:r>
              <w:t>PLN 1,000,000</w:t>
            </w:r>
          </w:p>
        </w:tc>
      </w:tr>
      <w:tr>
        <w:tc>
          <w:tcPr>
            <w:tcW w:type="dxa" w:w="2160"/>
          </w:tcPr>
          <w:p>
            <w:r>
              <w:t>Czech Republic</w:t>
            </w:r>
          </w:p>
        </w:tc>
        <w:tc>
          <w:tcPr>
            <w:tcW w:type="dxa" w:w="2160"/>
          </w:tcPr>
          <w:p>
            <w:r>
              <w:t>Zákon č. 171/2023 Sb.</w:t>
            </w:r>
          </w:p>
        </w:tc>
        <w:tc>
          <w:tcPr>
            <w:tcW w:type="dxa" w:w="2160"/>
          </w:tcPr>
          <w:p>
            <w:r>
              <w:t>Ministerstvo spravedlnosti</w:t>
            </w:r>
          </w:p>
        </w:tc>
        <w:tc>
          <w:tcPr>
            <w:tcW w:type="dxa" w:w="2160"/>
          </w:tcPr>
          <w:p>
            <w:r>
              <w:t>CZK 1,000,000</w:t>
            </w:r>
          </w:p>
        </w:tc>
      </w:tr>
      <w:tr>
        <w:tc>
          <w:tcPr>
            <w:tcW w:type="dxa" w:w="2160"/>
          </w:tcPr>
          <w:p>
            <w:r>
              <w:t>Slovakia</w:t>
            </w:r>
          </w:p>
        </w:tc>
        <w:tc>
          <w:tcPr>
            <w:tcW w:type="dxa" w:w="2160"/>
          </w:tcPr>
          <w:p>
            <w:r>
              <w:t>Zákon č. 54/2019 Z. z.</w:t>
            </w:r>
          </w:p>
        </w:tc>
        <w:tc>
          <w:tcPr>
            <w:tcW w:type="dxa" w:w="2160"/>
          </w:tcPr>
          <w:p>
            <w:r>
              <w:t>Úrad na ochranu oznamovateľov</w:t>
            </w:r>
          </w:p>
        </w:tc>
        <w:tc>
          <w:tcPr>
            <w:tcW w:type="dxa" w:w="2160"/>
          </w:tcPr>
          <w:p>
            <w:r>
              <w:t>€100,000</w:t>
            </w:r>
          </w:p>
        </w:tc>
      </w:tr>
      <w:tr>
        <w:tc>
          <w:tcPr>
            <w:tcW w:type="dxa" w:w="2160"/>
          </w:tcPr>
          <w:p>
            <w:r>
              <w:t>Hungary</w:t>
            </w:r>
          </w:p>
        </w:tc>
        <w:tc>
          <w:tcPr>
            <w:tcW w:type="dxa" w:w="2160"/>
          </w:tcPr>
          <w:p>
            <w:r>
              <w:t>Act XXV of 2023</w:t>
            </w:r>
          </w:p>
        </w:tc>
        <w:tc>
          <w:tcPr>
            <w:tcW w:type="dxa" w:w="2160"/>
          </w:tcPr>
          <w:p>
            <w:r>
              <w:t>Alapvető Jogok Biztosa</w:t>
            </w:r>
          </w:p>
        </w:tc>
        <w:tc>
          <w:tcPr>
            <w:tcW w:type="dxa" w:w="2160"/>
          </w:tcPr>
          <w:p>
            <w:r>
              <w:t>HUF 1,000,000,000</w:t>
            </w:r>
          </w:p>
        </w:tc>
      </w:tr>
      <w:tr>
        <w:tc>
          <w:tcPr>
            <w:tcW w:type="dxa" w:w="2160"/>
          </w:tcPr>
          <w:p>
            <w:r>
              <w:t>Romania</w:t>
            </w:r>
          </w:p>
        </w:tc>
        <w:tc>
          <w:tcPr>
            <w:tcW w:type="dxa" w:w="2160"/>
          </w:tcPr>
          <w:p>
            <w:r>
              <w:t>Legea 361/2022</w:t>
            </w:r>
          </w:p>
        </w:tc>
        <w:tc>
          <w:tcPr>
            <w:tcW w:type="dxa" w:w="2160"/>
          </w:tcPr>
          <w:p>
            <w:r>
              <w:t>Agenția Națională de Integritate</w:t>
            </w:r>
          </w:p>
        </w:tc>
        <w:tc>
          <w:tcPr>
            <w:tcW w:type="dxa" w:w="2160"/>
          </w:tcPr>
          <w:p>
            <w:r>
              <w:t>RON 40,000</w:t>
            </w:r>
          </w:p>
        </w:tc>
      </w:tr>
      <w:tr>
        <w:tc>
          <w:tcPr>
            <w:tcW w:type="dxa" w:w="2160"/>
          </w:tcPr>
          <w:p>
            <w:r>
              <w:t>Bulgaria</w:t>
            </w:r>
          </w:p>
        </w:tc>
        <w:tc>
          <w:tcPr>
            <w:tcW w:type="dxa" w:w="2160"/>
          </w:tcPr>
          <w:p>
            <w:r>
              <w:t>Закон за защита на лицата, подаващи сигнали</w:t>
            </w:r>
          </w:p>
        </w:tc>
        <w:tc>
          <w:tcPr>
            <w:tcW w:type="dxa" w:w="2160"/>
          </w:tcPr>
          <w:p>
            <w:r>
              <w:t>Комисия за защита на личните данни</w:t>
            </w:r>
          </w:p>
        </w:tc>
        <w:tc>
          <w:tcPr>
            <w:tcW w:type="dxa" w:w="2160"/>
          </w:tcPr>
          <w:p>
            <w:r>
              <w:t>BGN 30,000</w:t>
            </w:r>
          </w:p>
        </w:tc>
      </w:tr>
      <w:tr>
        <w:tc>
          <w:tcPr>
            <w:tcW w:type="dxa" w:w="2160"/>
          </w:tcPr>
          <w:p>
            <w:r>
              <w:t>Greece</w:t>
            </w:r>
          </w:p>
        </w:tc>
        <w:tc>
          <w:tcPr>
            <w:tcW w:type="dxa" w:w="2160"/>
          </w:tcPr>
          <w:p>
            <w:r>
              <w:t>Νόμος 4990/2022</w:t>
            </w:r>
          </w:p>
        </w:tc>
        <w:tc>
          <w:tcPr>
            <w:tcW w:type="dxa" w:w="2160"/>
          </w:tcPr>
          <w:p>
            <w:r>
              <w:t>Εθνική Αρχή Διαφάνειας</w:t>
            </w:r>
          </w:p>
        </w:tc>
        <w:tc>
          <w:tcPr>
            <w:tcW w:type="dxa" w:w="2160"/>
          </w:tcPr>
          <w:p>
            <w:r>
              <w:t>€500,000</w:t>
            </w:r>
          </w:p>
        </w:tc>
      </w:tr>
      <w:tr>
        <w:tc>
          <w:tcPr>
            <w:tcW w:type="dxa" w:w="2160"/>
          </w:tcPr>
          <w:p>
            <w:r>
              <w:t>Croatia</w:t>
            </w:r>
          </w:p>
        </w:tc>
        <w:tc>
          <w:tcPr>
            <w:tcW w:type="dxa" w:w="2160"/>
          </w:tcPr>
          <w:p>
            <w:r>
              <w:t>Zakon o zaštiti prijavitelja nepravilnosti</w:t>
            </w:r>
          </w:p>
        </w:tc>
        <w:tc>
          <w:tcPr>
            <w:tcW w:type="dxa" w:w="2160"/>
          </w:tcPr>
          <w:p>
            <w:r>
              <w:t>Pučki pravobranitelj</w:t>
            </w:r>
          </w:p>
        </w:tc>
        <w:tc>
          <w:tcPr>
            <w:tcW w:type="dxa" w:w="2160"/>
          </w:tcPr>
          <w:p>
            <w:r>
              <w:t>EUR 13,300</w:t>
            </w:r>
          </w:p>
        </w:tc>
      </w:tr>
      <w:tr>
        <w:tc>
          <w:tcPr>
            <w:tcW w:type="dxa" w:w="2160"/>
          </w:tcPr>
          <w:p>
            <w:r>
              <w:t>Slovenia</w:t>
            </w:r>
          </w:p>
        </w:tc>
        <w:tc>
          <w:tcPr>
            <w:tcW w:type="dxa" w:w="2160"/>
          </w:tcPr>
          <w:p>
            <w:r>
              <w:t>Zakon o zaščiti prijaviteljev</w:t>
            </w:r>
          </w:p>
        </w:tc>
        <w:tc>
          <w:tcPr>
            <w:tcW w:type="dxa" w:w="2160"/>
          </w:tcPr>
          <w:p>
            <w:r>
              <w:t>Komisija za preprečevanje korupcije</w:t>
            </w:r>
          </w:p>
        </w:tc>
        <w:tc>
          <w:tcPr>
            <w:tcW w:type="dxa" w:w="2160"/>
          </w:tcPr>
          <w:p>
            <w:r>
              <w:t>€60,000</w:t>
            </w:r>
          </w:p>
        </w:tc>
      </w:tr>
      <w:tr>
        <w:tc>
          <w:tcPr>
            <w:tcW w:type="dxa" w:w="2160"/>
          </w:tcPr>
          <w:p>
            <w:r>
              <w:t>Lithuania</w:t>
            </w:r>
          </w:p>
        </w:tc>
        <w:tc>
          <w:tcPr>
            <w:tcW w:type="dxa" w:w="2160"/>
          </w:tcPr>
          <w:p>
            <w:r>
              <w:t>Pranešėjų apsaugos įstatymas</w:t>
            </w:r>
          </w:p>
        </w:tc>
        <w:tc>
          <w:tcPr>
            <w:tcW w:type="dxa" w:w="2160"/>
          </w:tcPr>
          <w:p>
            <w:r>
              <w:t>Generalinė prokuratūra</w:t>
            </w:r>
          </w:p>
        </w:tc>
        <w:tc>
          <w:tcPr>
            <w:tcW w:type="dxa" w:w="2160"/>
          </w:tcPr>
          <w:p>
            <w:r>
              <w:t>€6,000</w:t>
            </w:r>
          </w:p>
        </w:tc>
      </w:tr>
      <w:tr>
        <w:tc>
          <w:tcPr>
            <w:tcW w:type="dxa" w:w="2160"/>
          </w:tcPr>
          <w:p>
            <w:r>
              <w:t>Latvia</w:t>
            </w:r>
          </w:p>
        </w:tc>
        <w:tc>
          <w:tcPr>
            <w:tcW w:type="dxa" w:w="2160"/>
          </w:tcPr>
          <w:p>
            <w:r>
              <w:t>Trauksmes celšanas likums</w:t>
            </w:r>
          </w:p>
        </w:tc>
        <w:tc>
          <w:tcPr>
            <w:tcW w:type="dxa" w:w="2160"/>
          </w:tcPr>
          <w:p>
            <w:r>
              <w:t>Valsts kanceleja</w:t>
            </w:r>
          </w:p>
        </w:tc>
        <w:tc>
          <w:tcPr>
            <w:tcW w:type="dxa" w:w="2160"/>
          </w:tcPr>
          <w:p>
            <w:r>
              <w:t>€14,000</w:t>
            </w:r>
          </w:p>
        </w:tc>
      </w:tr>
      <w:tr>
        <w:tc>
          <w:tcPr>
            <w:tcW w:type="dxa" w:w="2160"/>
          </w:tcPr>
          <w:p>
            <w:r>
              <w:t>Estonia</w:t>
            </w:r>
          </w:p>
        </w:tc>
        <w:tc>
          <w:tcPr>
            <w:tcW w:type="dxa" w:w="2160"/>
          </w:tcPr>
          <w:p>
            <w:r>
              <w:t>Rikkumisest teavitaja kaitse seadus</w:t>
            </w:r>
          </w:p>
        </w:tc>
        <w:tc>
          <w:tcPr>
            <w:tcW w:type="dxa" w:w="2160"/>
          </w:tcPr>
          <w:p>
            <w:r>
              <w:t>Justiitsministeerium</w:t>
            </w:r>
          </w:p>
        </w:tc>
        <w:tc>
          <w:tcPr>
            <w:tcW w:type="dxa" w:w="2160"/>
          </w:tcPr>
          <w:p>
            <w:r>
              <w:t>€32,000</w:t>
            </w:r>
          </w:p>
        </w:tc>
      </w:tr>
      <w:tr>
        <w:tc>
          <w:tcPr>
            <w:tcW w:type="dxa" w:w="2160"/>
          </w:tcPr>
          <w:p>
            <w:r>
              <w:t>Luxembourg</w:t>
            </w:r>
          </w:p>
        </w:tc>
        <w:tc>
          <w:tcPr>
            <w:tcW w:type="dxa" w:w="2160"/>
          </w:tcPr>
          <w:p>
            <w:r>
              <w:t>Loi du 16 mai 2023</w:t>
            </w:r>
          </w:p>
        </w:tc>
        <w:tc>
          <w:tcPr>
            <w:tcW w:type="dxa" w:w="2160"/>
          </w:tcPr>
          <w:p>
            <w:r>
              <w:t>Office des denonciateurs</w:t>
            </w:r>
          </w:p>
        </w:tc>
        <w:tc>
          <w:tcPr>
            <w:tcW w:type="dxa" w:w="2160"/>
          </w:tcPr>
          <w:p>
            <w:r>
              <w:t>€250,000</w:t>
            </w:r>
          </w:p>
        </w:tc>
      </w:tr>
      <w:tr>
        <w:tc>
          <w:tcPr>
            <w:tcW w:type="dxa" w:w="2160"/>
          </w:tcPr>
          <w:p>
            <w:r>
              <w:t>Cyprus</w:t>
            </w:r>
          </w:p>
        </w:tc>
        <w:tc>
          <w:tcPr>
            <w:tcW w:type="dxa" w:w="2160"/>
          </w:tcPr>
          <w:p>
            <w:r>
              <w:t>Whistleblowers Protection Law 6(I)/2022</w:t>
            </w:r>
          </w:p>
        </w:tc>
        <w:tc>
          <w:tcPr>
            <w:tcW w:type="dxa" w:w="2160"/>
          </w:tcPr>
          <w:p>
            <w:r>
              <w:t>Ombudsman of Cyprus</w:t>
            </w:r>
          </w:p>
        </w:tc>
        <w:tc>
          <w:tcPr>
            <w:tcW w:type="dxa" w:w="2160"/>
          </w:tcPr>
          <w:p>
            <w:r>
              <w:t>€30,000</w:t>
            </w:r>
          </w:p>
        </w:tc>
      </w:tr>
      <w:tr>
        <w:tc>
          <w:tcPr>
            <w:tcW w:type="dxa" w:w="2160"/>
          </w:tcPr>
          <w:p>
            <w:r>
              <w:t>Malta</w:t>
            </w:r>
          </w:p>
        </w:tc>
        <w:tc>
          <w:tcPr>
            <w:tcW w:type="dxa" w:w="2160"/>
          </w:tcPr>
          <w:p>
            <w:r>
              <w:t>Protection of the Whistleblower Act</w:t>
            </w:r>
          </w:p>
        </w:tc>
        <w:tc>
          <w:tcPr>
            <w:tcW w:type="dxa" w:w="2160"/>
          </w:tcPr>
          <w:p>
            <w:r>
              <w:t>Whistleblowing Reports Unit</w:t>
            </w:r>
          </w:p>
        </w:tc>
        <w:tc>
          <w:tcPr>
            <w:tcW w:type="dxa" w:w="2160"/>
          </w:tcPr>
          <w:p>
            <w:r>
              <w:t>€50,000</w:t>
            </w:r>
          </w:p>
        </w:tc>
      </w:tr>
      <w:tr>
        <w:tc>
          <w:tcPr>
            <w:tcW w:type="dxa" w:w="2160"/>
          </w:tcPr>
          <w:p>
            <w:r>
              <w:t>Norway</w:t>
            </w:r>
          </w:p>
        </w:tc>
        <w:tc>
          <w:tcPr>
            <w:tcW w:type="dxa" w:w="2160"/>
          </w:tcPr>
          <w:p>
            <w:r>
              <w:t>Arbeidsmiljøloven §§ 2A</w:t>
            </w:r>
          </w:p>
        </w:tc>
        <w:tc>
          <w:tcPr>
            <w:tcW w:type="dxa" w:w="2160"/>
          </w:tcPr>
          <w:p>
            <w:r>
              <w:t>Arbeidstilsynet</w:t>
            </w:r>
          </w:p>
        </w:tc>
        <w:tc>
          <w:tcPr>
            <w:tcW w:type="dxa" w:w="2160"/>
          </w:tcPr>
          <w:p>
            <w:r>
              <w:t>NOK 1,000,000</w:t>
            </w:r>
          </w:p>
        </w:tc>
      </w:tr>
      <w:tr>
        <w:tc>
          <w:tcPr>
            <w:tcW w:type="dxa" w:w="2160"/>
          </w:tcPr>
          <w:p>
            <w:r>
              <w:t>Iceland</w:t>
            </w:r>
          </w:p>
        </w:tc>
        <w:tc>
          <w:tcPr>
            <w:tcW w:type="dxa" w:w="2160"/>
          </w:tcPr>
          <w:p>
            <w:r>
              <w:t>Lög nr. 40/2020</w:t>
            </w:r>
          </w:p>
        </w:tc>
        <w:tc>
          <w:tcPr>
            <w:tcW w:type="dxa" w:w="2160"/>
          </w:tcPr>
          <w:p>
            <w:r>
              <w:t>Umboðsmaður Alþingis</w:t>
            </w:r>
          </w:p>
        </w:tc>
        <w:tc>
          <w:tcPr>
            <w:tcW w:type="dxa" w:w="2160"/>
          </w:tcPr>
          <w:p>
            <w:r>
              <w:t>ISK 10,000,000</w:t>
            </w:r>
          </w:p>
        </w:tc>
      </w:tr>
      <w:tr>
        <w:tc>
          <w:tcPr>
            <w:tcW w:type="dxa" w:w="2160"/>
          </w:tcPr>
          <w:p>
            <w:r>
              <w:t>United Kingdom</w:t>
            </w:r>
          </w:p>
        </w:tc>
        <w:tc>
          <w:tcPr>
            <w:tcW w:type="dxa" w:w="2160"/>
          </w:tcPr>
          <w:p>
            <w:r>
              <w:t>Public Interest Disclosure Act 1998 (PIDA)</w:t>
            </w:r>
          </w:p>
        </w:tc>
        <w:tc>
          <w:tcPr>
            <w:tcW w:type="dxa" w:w="2160"/>
          </w:tcPr>
          <w:p>
            <w:r>
              <w:t>Employment Tribunals</w:t>
            </w:r>
          </w:p>
        </w:tc>
        <w:tc>
          <w:tcPr>
            <w:tcW w:type="dxa" w:w="2160"/>
          </w:tcPr>
          <w:p>
            <w:r>
              <w:t>Tribunal awards (uncapped)</w:t>
            </w:r>
          </w:p>
        </w:tc>
      </w:tr>
    </w:tbl>
    <w:p/>
    <w:p/>
    <w:p>
      <w:r>
        <w:rPr>
          <w:sz w:val="22"/>
        </w:rPr>
        <w:t>Adopted by [BOARD / MANAGEMENT BODY] on [DATE].</w:t>
        <w:br/>
        <w:br/>
        <w:t>Signed: ____________________________   [NAME, TITLE]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